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宿州市国防动员办公室关于印发《宿州市</w:t>
      </w: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人防工程平时使用管理办法》的通知</w:t>
      </w: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各县（区）国动办，各科室、直属单位：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为规范人防工程平时使用管理，落实维护管理责任，根据《安徽省人防工程平时使用管理办法》，制定《宿州市人防工程平时使用管理办法》，请结合实际，抓好贯彻落实。</w:t>
      </w:r>
    </w:p>
    <w:p>
      <w:pPr>
        <w:widowControl/>
        <w:spacing w:before="0" w:beforeLines="0" w:after="0" w:afterLines="0" w:line="760" w:lineRule="exact"/>
        <w:ind w:firstLine="0" w:firstLineChars="0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宿州市国防动员办公室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2023年7月19日</w:t>
      </w: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pacing w:before="0" w:beforeLines="0" w:after="0" w:afterLines="0" w:line="760" w:lineRule="exact"/>
        <w:ind w:firstLine="0" w:firstLineChars="0"/>
        <w:jc w:val="both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人防工程平时使用管理办法</w:t>
      </w:r>
    </w:p>
    <w:p>
      <w:pPr>
        <w:widowControl/>
        <w:numPr>
          <w:ilvl w:val="-1"/>
          <w:numId w:val="0"/>
        </w:numPr>
        <w:spacing w:before="0" w:beforeLines="0" w:beforeAutospacing="0" w:after="0" w:afterLines="0" w:afterAutospacing="0" w:line="600" w:lineRule="exact"/>
        <w:ind w:left="0" w:firstLine="720" w:firstLine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为规范人防工程平时使用管理，落实维护管理责任，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充分发挥人防工程战备效益、社会效益和经济效益，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根据《中华人民共和国人民防空法》《安徽省实施&lt;中华人民共和国人民防空法&gt;办法》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《安徽省人防工程平时使用管理办法》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等法律法规，制定本办法。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人防工程属国防设施。人防工程平时使用应当坚持有偿使用、用管结合原则，在确保战时防护效能和平战转换的前提下，最大限度为经济社会发展服务。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平时使用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人防工程实行登记制度。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建设单位或者使用人应当将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人防工程平时使用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情况告知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人防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主管部门，办理平时使用和维护管理责任登记手续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领取《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人防工程平时使用证》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第四条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人防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主管部门负责监督指导全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人防工程平时使用管理工作，县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（区）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人防主管部门负责本辖区人防工程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平时使用管理工作。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第五条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bidi="ar"/>
        </w:rPr>
        <w:t>新建人防工程项目，由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建设单位在竣工验收时同步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办理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人防工程平时使用登记手续。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未办理平时使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bidi="ar"/>
        </w:rPr>
        <w:t>用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 w:bidi="ar"/>
        </w:rPr>
        <w:t>和维护管理责任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bidi="ar"/>
        </w:rPr>
        <w:t>登记手续的项目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，由市或者县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（区）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人防主管部门通知建设单位限期办理。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建设单位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被兼并、破产、终止的，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经人防主管部门备案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接收人防工程的使用人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平时使用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登记手续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rPr>
          <w:rFonts w:hint="eastAsia" w:ascii="仿宋_GB2312" w:hAnsi="仿宋_GB2312" w:eastAsia="仿宋_GB2312" w:cs="仿宋_GB2312"/>
          <w:snapToGrid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bidi="ar"/>
        </w:rPr>
        <w:t>建设单位或者使用人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 w:bidi="ar"/>
        </w:rPr>
        <w:t>领取《人防工程平时使用证》时，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bidi="ar"/>
        </w:rPr>
        <w:t>应当提交下列资料：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（一）人防工程平时使用登记表；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（二）建设单位或者使用人营业执照、机构代码等证明；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（三）人防工程平时使用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管理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鼓励推广运用《人防工程平时使用证》电子证照。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人防工程平时使用证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》实行审验制度，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  <w:t>审验周期为3年。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建设单位或者使用人应当在期满前30日内提交申请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，由人防主管部门进行审验和换证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  <w:t xml:space="preserve">  建设单位负责人防工程的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维护管理。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建设单位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被兼并、破产、终止的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，由经人防主管部门备案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接收人防工程的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使用人承担维护管理责任。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第九条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  <w:t xml:space="preserve">  建设单位或者使用人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应当配备或者指定人防工程维护管理人员，建立健全人防工程维护管理制度，实行消防、治安、保密等安全责任制，建立工程技术档案和维护保养记录，按照人防工程维护管理技术规范落实保养措施，使人防工程处于良好状态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达到下列标准：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（一）工程结构完好；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（二）工程内部整洁、无渗漏水，空气和饮用水符合国家有关卫生标准；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（三）防护密闭设备、设施性能良好；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（四）风、水、电、暖、通信、消防系统工作正常；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（五）金属、木质部件无锈蚀损坏；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（六）进出口道路畅通，孔口伪装及地面附属设施完好；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（七）防汛设施安全可靠。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第十条  人防工程平时用作停车位的，应向全体业主开放，不得出售、附赠。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人防工程维护管理费用，由建设单位或者使用人从收取的停车费、租金等中列支保障。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条  人防工程应设置标志标识，保持醒目状态，便于群众辨识人防工程位置区域和疏散掩蔽，具体按有关规定执行。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建设单位或者使用人可采取共享停车、错峰停车等方式，盘活人防停车位资源，服务城市停车，服务保障民生。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市、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（区）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人防主管部门应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"/>
        </w:rPr>
        <w:t>加强人防工程平时使用管理的监督检查，督促指导建设单位或者使用人落实人防工程维护管理责任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对违反国家有关规定，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存在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改变人防工程主体结构，拆除人防工程设备设施，或者采用擅自改变利用用途、不维护管理人防工程专用设备等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"/>
        </w:rPr>
        <w:t>情形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bidi="ar"/>
        </w:rPr>
        <w:t>，危害人防工程安全和使用效能的，人防主管部门责令限期改正，依法予以处罚。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napToGrid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bidi="ar"/>
        </w:rPr>
        <w:t>人防主管部门应当加强对建设单位或者使用人的信用监管，将其信用践诺情况推送相关部门，实施守信激励和失信惩戒。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Cs w:val="0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snapToGrid/>
          <w:kern w:val="2"/>
          <w:sz w:val="32"/>
          <w:szCs w:val="32"/>
          <w:lang w:bidi="ar"/>
        </w:rPr>
        <w:t>县（</w:t>
      </w:r>
      <w:r>
        <w:rPr>
          <w:rFonts w:hint="eastAsia" w:ascii="仿宋_GB2312" w:hAnsi="仿宋_GB2312" w:eastAsia="仿宋_GB2312" w:cs="仿宋_GB2312"/>
          <w:bCs w:val="0"/>
          <w:snapToGrid/>
          <w:kern w:val="2"/>
          <w:sz w:val="32"/>
          <w:szCs w:val="32"/>
          <w:lang w:eastAsia="zh-CN" w:bidi="ar"/>
        </w:rPr>
        <w:t>区</w:t>
      </w:r>
      <w:r>
        <w:rPr>
          <w:rFonts w:hint="eastAsia" w:ascii="仿宋_GB2312" w:hAnsi="仿宋_GB2312" w:eastAsia="仿宋_GB2312" w:cs="仿宋_GB2312"/>
          <w:bCs w:val="0"/>
          <w:snapToGrid/>
          <w:kern w:val="2"/>
          <w:sz w:val="32"/>
          <w:szCs w:val="32"/>
          <w:lang w:bidi="ar"/>
        </w:rPr>
        <w:t>）人防主管部门</w:t>
      </w:r>
      <w:r>
        <w:rPr>
          <w:rFonts w:hint="eastAsia" w:ascii="仿宋_GB2312" w:hAnsi="仿宋_GB2312" w:eastAsia="仿宋_GB2312" w:cs="仿宋_GB2312"/>
          <w:bCs w:val="0"/>
          <w:snapToGrid/>
          <w:kern w:val="2"/>
          <w:sz w:val="32"/>
          <w:szCs w:val="32"/>
        </w:rPr>
        <w:t>可以依据本办法制定细则。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本办法自202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日起施行。</w:t>
      </w:r>
    </w:p>
    <w:p>
      <w:pPr>
        <w:spacing w:beforeLines="0" w:afterLines="0" w:line="6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附 件</w:t>
      </w:r>
      <w:r>
        <w:rPr>
          <w:rFonts w:hint="eastAsia" w:ascii="仿宋_GB2312" w:hAnsi="仿宋_GB2312" w:eastAsia="仿宋_GB2312" w:cs="仿宋_GB2312"/>
          <w:sz w:val="32"/>
          <w:szCs w:val="32"/>
        </w:rPr>
        <w:t>1.人防工程平时使用证样式</w:t>
      </w:r>
    </w:p>
    <w:p>
      <w:pPr>
        <w:spacing w:before="120" w:beforeLines="50" w:after="120" w:afterLines="50"/>
        <w:ind w:firstLine="1600" w:firstLineChars="5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2.人防工程平时使用登记表</w:t>
      </w:r>
    </w:p>
    <w:p>
      <w:pPr>
        <w:spacing w:before="120" w:beforeLines="50" w:after="120" w:afterLines="50"/>
        <w:ind w:firstLine="1600" w:firstLineChars="5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3.人防工程平时使用管理承诺书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766" w:right="1275" w:bottom="1183" w:left="1278" w:header="1399" w:footer="868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附件1：《人防工程平时使用证》样式</w:t>
      </w:r>
    </w:p>
    <w:p>
      <w:pPr>
        <w:ind w:firstLine="560"/>
        <w:sectPr>
          <w:pgSz w:w="16838" w:h="11906" w:orient="landscape"/>
          <w:pgMar w:top="1278" w:right="1766" w:bottom="1275" w:left="1183" w:header="1399" w:footer="868" w:gutter="0"/>
          <w:pgNumType w:fmt="numberInDash"/>
          <w:cols w:space="720" w:num="1"/>
        </w:sect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7850505" cy="5241290"/>
            <wp:effectExtent l="0" t="0" r="13335" b="12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50505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9376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680"/>
        <w:gridCol w:w="1934"/>
        <w:gridCol w:w="1341"/>
        <w:gridCol w:w="3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76" w:type="dxa"/>
            <w:gridSpan w:val="5"/>
            <w:tcBorders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after="120" w:afterLines="50" w:line="209" w:lineRule="auto"/>
              <w:ind w:firstLine="0" w:firstLineChars="0"/>
              <w:jc w:val="left"/>
              <w:textAlignment w:val="baseline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.《人防工程平时使用登记表》</w:t>
            </w:r>
          </w:p>
          <w:p>
            <w:pPr>
              <w:spacing w:before="120" w:beforeLines="50" w:after="120" w:afterLines="5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  <w:t>人防工程平时使用登记表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 请 人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0" w:right="113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工程基本情况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工程名称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工程地址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战时用途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人员掩蔽工程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□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医疗救护工程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□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防空专业队工程 □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物资库工程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□  </w:t>
            </w:r>
          </w:p>
          <w:p>
            <w:pPr>
              <w:ind w:firstLine="440" w:firstLineChars="200"/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2"/>
              </w:rPr>
              <w:t xml:space="preserve">其他 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申请平时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使用用途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平时使用用途：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人防工程建筑面积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none"/>
              </w:rPr>
              <w:t>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配套用房建筑面积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none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40" w:lineRule="exact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spacing w:val="14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建设单位（</w:t>
            </w:r>
            <w:r>
              <w:rPr>
                <w:rFonts w:hint="eastAsia" w:ascii="宋体" w:hAnsi="宋体" w:cs="宋体"/>
                <w:spacing w:val="0"/>
                <w:w w:val="100"/>
                <w:kern w:val="0"/>
                <w:sz w:val="22"/>
                <w:szCs w:val="22"/>
              </w:rPr>
              <w:t>使用人</w:t>
            </w:r>
            <w:r>
              <w:rPr>
                <w:rFonts w:hint="eastAsia" w:ascii="宋体" w:hAnsi="宋体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）申请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建设单位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使用人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本单位申请平时使用</w:t>
            </w:r>
            <w:r>
              <w:rPr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人防工程，用于</w:t>
            </w:r>
            <w:r>
              <w:rPr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使用，使用时间从    年  月  日至     年   月   日止，自觉遵守相关管理规定，落实维护管理和安全管理责任。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</w:t>
            </w:r>
          </w:p>
          <w:p>
            <w:pPr>
              <w:widowControl/>
              <w:ind w:firstLine="5060" w:firstLineChars="23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 w:firstLine="4950" w:firstLineChars="225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（签章）</w:t>
            </w:r>
          </w:p>
          <w:p>
            <w:pPr>
              <w:widowControl/>
              <w:ind w:firstLine="5060" w:firstLineChars="23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年   月   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0" w:leftChars="0" w:right="226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部门审核意见</w:t>
            </w:r>
          </w:p>
        </w:tc>
        <w:tc>
          <w:tcPr>
            <w:tcW w:w="82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ind w:firstLine="5500" w:firstLineChars="25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（公章）</w:t>
            </w:r>
          </w:p>
          <w:p>
            <w:pPr>
              <w:widowControl/>
              <w:ind w:firstLine="5280" w:firstLineChars="24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  <w:r>
              <w:rPr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before="120" w:beforeLines="50" w:after="120" w:afterLines="50"/>
        <w:ind w:firstLine="0" w:firstLineChars="0"/>
        <w:jc w:val="center"/>
        <w:sectPr>
          <w:pgSz w:w="11906" w:h="16838"/>
          <w:pgMar w:top="1766" w:right="1275" w:bottom="1183" w:left="1278" w:header="1399" w:footer="868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.《人防工程平时使用管理承诺书》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183" w:lineRule="auto"/>
        <w:ind w:left="2925"/>
        <w:jc w:val="left"/>
        <w:textAlignment w:val="baseline"/>
        <w:rPr>
          <w:rFonts w:ascii="微软雅黑" w:hAnsi="微软雅黑" w:eastAsia="微软雅黑" w:cs="微软雅黑"/>
          <w:snapToGrid w:val="0"/>
          <w:spacing w:val="9"/>
          <w:kern w:val="0"/>
          <w:sz w:val="31"/>
          <w:szCs w:val="31"/>
        </w:rPr>
      </w:pPr>
    </w:p>
    <w:p>
      <w:pPr>
        <w:spacing w:before="120" w:beforeLines="50" w:after="120" w:afterLines="50"/>
        <w:jc w:val="center"/>
        <w:outlineLvl w:val="0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人防工程平时使用管理承诺书</w:t>
      </w:r>
    </w:p>
    <w:p>
      <w:pPr>
        <w:spacing w:before="0" w:beforeLines="0" w:after="0" w:afterLines="0" w:line="480" w:lineRule="exact"/>
        <w:ind w:firstLine="0"/>
        <w:rPr>
          <w:sz w:val="28"/>
          <w:szCs w:val="28"/>
        </w:rPr>
      </w:pP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本单位承诺：</w:t>
      </w:r>
    </w:p>
    <w:p>
      <w:pPr>
        <w:numPr>
          <w:ilvl w:val="0"/>
          <w:numId w:val="1"/>
        </w:num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平时使用人防工程用作停车位的，向全体业主开放，不出售、附赠。</w:t>
      </w:r>
    </w:p>
    <w:p>
      <w:pPr>
        <w:widowControl w:val="0"/>
        <w:numPr>
          <w:ilvl w:val="0"/>
          <w:numId w:val="2"/>
        </w:numPr>
        <w:autoSpaceDE/>
        <w:autoSpaceDN/>
        <w:adjustRightInd/>
        <w:snapToGrid/>
        <w:spacing w:before="0" w:beforeLines="0" w:after="0" w:afterLines="0" w:line="48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负责人防工程维护管理和安全管理，确保达到规定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sz w:val="28"/>
          <w:szCs w:val="28"/>
        </w:rPr>
        <w:t>，并不从事以下活动：</w:t>
      </w:r>
    </w:p>
    <w:p>
      <w:pPr>
        <w:widowControl w:val="0"/>
        <w:numPr>
          <w:ilvl w:val="255"/>
          <w:numId w:val="0"/>
        </w:numPr>
        <w:autoSpaceDE/>
        <w:autoSpaceDN/>
        <w:adjustRightInd/>
        <w:snapToGrid/>
        <w:spacing w:before="0" w:beforeLines="0" w:after="0" w:afterLines="0" w:line="48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（一）在人防工程内生产、存储易燃、易爆、剧毒、放射性和腐蚀性物品；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（二）在人防工程防护范围内爆破、钻探、挖掘等危及人防工程的作业；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（三）向人防工程内部及孔口排入废气、废水和倾倒废弃物；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（四）侵占、堵塞、毁坏人防工程及其出入口；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（五）违反国家有关规定，改变人防工程主体结构、拆除人防工程设备设施，擅自改变利用用途、不维护人防工程专用设备；</w:t>
      </w:r>
    </w:p>
    <w:p>
      <w:pPr>
        <w:widowControl w:val="0"/>
        <w:autoSpaceDE/>
        <w:autoSpaceDN/>
        <w:adjustRightInd/>
        <w:snapToGrid/>
        <w:spacing w:before="0" w:beforeLines="0" w:after="0" w:afterLines="0" w:line="48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（六）法律、法规禁止的其他危害人防工程安全和使用效能的行为。</w:t>
      </w:r>
    </w:p>
    <w:p>
      <w:pPr>
        <w:numPr>
          <w:ilvl w:val="-1"/>
          <w:numId w:val="0"/>
        </w:num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人防工程平时使用证有效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满后，按规定申请换证。</w:t>
      </w:r>
    </w:p>
    <w:p>
      <w:pPr>
        <w:numPr>
          <w:ilvl w:val="0"/>
          <w:numId w:val="0"/>
        </w:numPr>
        <w:spacing w:before="0" w:beforeLines="0" w:after="0" w:afterLines="0" w:line="48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四、若本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bidi="ar"/>
        </w:rPr>
        <w:t>单位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被兼并、破产、终止，按规定向新的维护管理单位移交人防工程档案资料，办理人防工程管理交接手续，并</w:t>
      </w:r>
      <w:r>
        <w:rPr>
          <w:rFonts w:hint="eastAsia" w:ascii="仿宋" w:hAnsi="仿宋" w:eastAsia="仿宋" w:cs="仿宋"/>
          <w:sz w:val="28"/>
          <w:szCs w:val="28"/>
        </w:rPr>
        <w:t>向人防主管部门备案。</w:t>
      </w:r>
    </w:p>
    <w:p>
      <w:pPr>
        <w:numPr>
          <w:ilvl w:val="255"/>
          <w:numId w:val="0"/>
        </w:num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五、自觉接受人防主管部门监督检查，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落实整改要求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六、战时，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人防工程由人防主管部门</w:t>
      </w:r>
      <w:r>
        <w:rPr>
          <w:rFonts w:hint="eastAsia" w:ascii="仿宋" w:hAnsi="仿宋" w:eastAsia="仿宋" w:cs="仿宋"/>
          <w:sz w:val="28"/>
          <w:szCs w:val="28"/>
        </w:rPr>
        <w:t>统一安排使用。</w:t>
      </w: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承诺书一式两份，人防部门与承诺人各执一份。</w:t>
      </w:r>
    </w:p>
    <w:p>
      <w:pPr>
        <w:spacing w:beforeLines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承诺人(盖章)</w:t>
      </w:r>
    </w:p>
    <w:p>
      <w:pPr>
        <w:spacing w:beforeLines="0" w:afterLines="0" w:line="480" w:lineRule="exact"/>
        <w:ind w:firstLine="56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日   期：</w:t>
      </w:r>
    </w:p>
    <w:sectPr>
      <w:headerReference r:id="rId7" w:type="default"/>
      <w:footerReference r:id="rId8" w:type="default"/>
      <w:pgSz w:w="11906" w:h="16838"/>
      <w:pgMar w:top="1766" w:right="1162" w:bottom="1406" w:left="1219" w:header="1399" w:footer="86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3" w:lineRule="auto"/>
      <w:ind w:right="143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61" w:lineRule="auto"/>
      <w:ind w:left="165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llWQFQ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qllWQ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4" w:lineRule="auto"/>
      <w:ind w:right="4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4" w:lineRule="auto"/>
      <w:ind w:left="10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192EF"/>
    <w:multiLevelType w:val="singleLevel"/>
    <w:tmpl w:val="DCF192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091ADA"/>
    <w:multiLevelType w:val="singleLevel"/>
    <w:tmpl w:val="60091A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ZkZDg0YWY2MzBjNTI0Mzk2M2I1Y2RlMGEwYTgifQ=="/>
  </w:docVars>
  <w:rsids>
    <w:rsidRoot w:val="1101609D"/>
    <w:rsid w:val="00010F46"/>
    <w:rsid w:val="0008721B"/>
    <w:rsid w:val="00102024"/>
    <w:rsid w:val="00200143"/>
    <w:rsid w:val="0071332C"/>
    <w:rsid w:val="009133BE"/>
    <w:rsid w:val="00AF04C7"/>
    <w:rsid w:val="00BA254F"/>
    <w:rsid w:val="00BB7DA6"/>
    <w:rsid w:val="00C04EF3"/>
    <w:rsid w:val="00DA53FA"/>
    <w:rsid w:val="00DE2757"/>
    <w:rsid w:val="018C405B"/>
    <w:rsid w:val="02BD3348"/>
    <w:rsid w:val="03016A24"/>
    <w:rsid w:val="03464D6C"/>
    <w:rsid w:val="039918D5"/>
    <w:rsid w:val="03B25E6F"/>
    <w:rsid w:val="04063774"/>
    <w:rsid w:val="04C14F35"/>
    <w:rsid w:val="04CC0401"/>
    <w:rsid w:val="0643489B"/>
    <w:rsid w:val="07A935D4"/>
    <w:rsid w:val="07D157A2"/>
    <w:rsid w:val="08027ED1"/>
    <w:rsid w:val="0826467D"/>
    <w:rsid w:val="087B60BA"/>
    <w:rsid w:val="0917593C"/>
    <w:rsid w:val="0A30031E"/>
    <w:rsid w:val="0B57261F"/>
    <w:rsid w:val="0B8C282C"/>
    <w:rsid w:val="0BAD05C2"/>
    <w:rsid w:val="0BB37F79"/>
    <w:rsid w:val="0C0C32AC"/>
    <w:rsid w:val="0CB676EE"/>
    <w:rsid w:val="0CEB3F9B"/>
    <w:rsid w:val="0D1138CE"/>
    <w:rsid w:val="0D3A6380"/>
    <w:rsid w:val="0D595DEC"/>
    <w:rsid w:val="0DC35DC5"/>
    <w:rsid w:val="0E5A3619"/>
    <w:rsid w:val="0E7E5E38"/>
    <w:rsid w:val="0F4D301C"/>
    <w:rsid w:val="0F7D7D8A"/>
    <w:rsid w:val="0FDB4500"/>
    <w:rsid w:val="10C95F8E"/>
    <w:rsid w:val="10E6757F"/>
    <w:rsid w:val="1101609D"/>
    <w:rsid w:val="114961DE"/>
    <w:rsid w:val="122B180B"/>
    <w:rsid w:val="12303077"/>
    <w:rsid w:val="123744F3"/>
    <w:rsid w:val="12AC0B39"/>
    <w:rsid w:val="12BD562E"/>
    <w:rsid w:val="12F136B3"/>
    <w:rsid w:val="130A7C1F"/>
    <w:rsid w:val="13185128"/>
    <w:rsid w:val="138A3558"/>
    <w:rsid w:val="139D71CB"/>
    <w:rsid w:val="13AC179F"/>
    <w:rsid w:val="13D864F5"/>
    <w:rsid w:val="14450BA7"/>
    <w:rsid w:val="14C3660B"/>
    <w:rsid w:val="15B3703A"/>
    <w:rsid w:val="16155772"/>
    <w:rsid w:val="163301BF"/>
    <w:rsid w:val="16332B54"/>
    <w:rsid w:val="16432CDE"/>
    <w:rsid w:val="16854E08"/>
    <w:rsid w:val="16D97E48"/>
    <w:rsid w:val="172F6B9A"/>
    <w:rsid w:val="179A4424"/>
    <w:rsid w:val="179D3C70"/>
    <w:rsid w:val="182F3357"/>
    <w:rsid w:val="18637A3A"/>
    <w:rsid w:val="18EE4FD5"/>
    <w:rsid w:val="191E2E73"/>
    <w:rsid w:val="19AF635C"/>
    <w:rsid w:val="1A5033BB"/>
    <w:rsid w:val="1A850248"/>
    <w:rsid w:val="1BDA717B"/>
    <w:rsid w:val="1C0F346B"/>
    <w:rsid w:val="1C577C11"/>
    <w:rsid w:val="1C775E2D"/>
    <w:rsid w:val="1C8D0641"/>
    <w:rsid w:val="1C8E3AE5"/>
    <w:rsid w:val="1CC66A9E"/>
    <w:rsid w:val="1D99255D"/>
    <w:rsid w:val="1E784761"/>
    <w:rsid w:val="1EE95587"/>
    <w:rsid w:val="1F5B95FE"/>
    <w:rsid w:val="1F5CEA21"/>
    <w:rsid w:val="1FBD58C9"/>
    <w:rsid w:val="1FD75BEC"/>
    <w:rsid w:val="1FFC0454"/>
    <w:rsid w:val="20107F0C"/>
    <w:rsid w:val="206B7FE2"/>
    <w:rsid w:val="20A47C67"/>
    <w:rsid w:val="21384342"/>
    <w:rsid w:val="21D50F04"/>
    <w:rsid w:val="2287101E"/>
    <w:rsid w:val="23656812"/>
    <w:rsid w:val="23784721"/>
    <w:rsid w:val="23EE6817"/>
    <w:rsid w:val="24764191"/>
    <w:rsid w:val="25111F5F"/>
    <w:rsid w:val="25185839"/>
    <w:rsid w:val="25677B42"/>
    <w:rsid w:val="25D050A4"/>
    <w:rsid w:val="260A70FF"/>
    <w:rsid w:val="265B5DBE"/>
    <w:rsid w:val="266F31B2"/>
    <w:rsid w:val="26A53240"/>
    <w:rsid w:val="26EE3861"/>
    <w:rsid w:val="27AA6F17"/>
    <w:rsid w:val="27D31595"/>
    <w:rsid w:val="286B1769"/>
    <w:rsid w:val="29674DD2"/>
    <w:rsid w:val="298466DA"/>
    <w:rsid w:val="29CE2474"/>
    <w:rsid w:val="29FF3850"/>
    <w:rsid w:val="2B267BB9"/>
    <w:rsid w:val="2BAA0E9B"/>
    <w:rsid w:val="2C3311CB"/>
    <w:rsid w:val="2D872C29"/>
    <w:rsid w:val="2DC0650F"/>
    <w:rsid w:val="2E003BAA"/>
    <w:rsid w:val="2E2B285A"/>
    <w:rsid w:val="2E679FFC"/>
    <w:rsid w:val="2EC26902"/>
    <w:rsid w:val="2ED13786"/>
    <w:rsid w:val="2FD837E4"/>
    <w:rsid w:val="305030C4"/>
    <w:rsid w:val="3080174B"/>
    <w:rsid w:val="30937B15"/>
    <w:rsid w:val="317600BB"/>
    <w:rsid w:val="31D572DC"/>
    <w:rsid w:val="31DB27CB"/>
    <w:rsid w:val="32107F36"/>
    <w:rsid w:val="32F1650D"/>
    <w:rsid w:val="333E400A"/>
    <w:rsid w:val="347209CB"/>
    <w:rsid w:val="356258DF"/>
    <w:rsid w:val="35645F14"/>
    <w:rsid w:val="358A7976"/>
    <w:rsid w:val="35C34462"/>
    <w:rsid w:val="361653A4"/>
    <w:rsid w:val="36BD7C35"/>
    <w:rsid w:val="370D5B82"/>
    <w:rsid w:val="374A35D1"/>
    <w:rsid w:val="37AE1D12"/>
    <w:rsid w:val="38C46F3F"/>
    <w:rsid w:val="39591437"/>
    <w:rsid w:val="395A5E8E"/>
    <w:rsid w:val="39A554A5"/>
    <w:rsid w:val="3A7141BA"/>
    <w:rsid w:val="3A86021F"/>
    <w:rsid w:val="3AF61F98"/>
    <w:rsid w:val="3B020728"/>
    <w:rsid w:val="3B2802A8"/>
    <w:rsid w:val="3BA38A41"/>
    <w:rsid w:val="3BBCC7B2"/>
    <w:rsid w:val="3BF85AD0"/>
    <w:rsid w:val="3C0300BE"/>
    <w:rsid w:val="3C3B2C36"/>
    <w:rsid w:val="3C880891"/>
    <w:rsid w:val="3CBA34B2"/>
    <w:rsid w:val="3D01452B"/>
    <w:rsid w:val="3D0F079F"/>
    <w:rsid w:val="3D68134B"/>
    <w:rsid w:val="3D882B23"/>
    <w:rsid w:val="3D921DFA"/>
    <w:rsid w:val="3DFD2ACE"/>
    <w:rsid w:val="3E377515"/>
    <w:rsid w:val="3E493B6C"/>
    <w:rsid w:val="3E7B5DE4"/>
    <w:rsid w:val="3EA9352B"/>
    <w:rsid w:val="3ED5EBE8"/>
    <w:rsid w:val="3EE930E3"/>
    <w:rsid w:val="3F1602A9"/>
    <w:rsid w:val="3F5412B9"/>
    <w:rsid w:val="3F625A55"/>
    <w:rsid w:val="3FB470D2"/>
    <w:rsid w:val="3FDF63CF"/>
    <w:rsid w:val="405216E0"/>
    <w:rsid w:val="41457FCF"/>
    <w:rsid w:val="416329DA"/>
    <w:rsid w:val="41A23125"/>
    <w:rsid w:val="41CA6845"/>
    <w:rsid w:val="4303127D"/>
    <w:rsid w:val="43C3381F"/>
    <w:rsid w:val="44362BB6"/>
    <w:rsid w:val="44531250"/>
    <w:rsid w:val="44BB5424"/>
    <w:rsid w:val="44E45E9D"/>
    <w:rsid w:val="45EB24C6"/>
    <w:rsid w:val="4630468E"/>
    <w:rsid w:val="464456C3"/>
    <w:rsid w:val="46577AD7"/>
    <w:rsid w:val="470105EB"/>
    <w:rsid w:val="473970C7"/>
    <w:rsid w:val="475C6A47"/>
    <w:rsid w:val="47D61591"/>
    <w:rsid w:val="480B5202"/>
    <w:rsid w:val="49743F45"/>
    <w:rsid w:val="4A6E2565"/>
    <w:rsid w:val="4AAD1016"/>
    <w:rsid w:val="4B3A33B7"/>
    <w:rsid w:val="4B5B1AA6"/>
    <w:rsid w:val="4B8265F1"/>
    <w:rsid w:val="4B9A4D44"/>
    <w:rsid w:val="4BA130B5"/>
    <w:rsid w:val="4BCD705D"/>
    <w:rsid w:val="4C476E87"/>
    <w:rsid w:val="4E79212A"/>
    <w:rsid w:val="4F1C4882"/>
    <w:rsid w:val="4F243A83"/>
    <w:rsid w:val="500142A7"/>
    <w:rsid w:val="50BA7F6F"/>
    <w:rsid w:val="50E167E8"/>
    <w:rsid w:val="50F70788"/>
    <w:rsid w:val="51F50947"/>
    <w:rsid w:val="52201F8B"/>
    <w:rsid w:val="523026A9"/>
    <w:rsid w:val="527D7ED6"/>
    <w:rsid w:val="528455D0"/>
    <w:rsid w:val="52BB3578"/>
    <w:rsid w:val="52F91BDE"/>
    <w:rsid w:val="5376749C"/>
    <w:rsid w:val="53C30B25"/>
    <w:rsid w:val="544E4BC1"/>
    <w:rsid w:val="55301189"/>
    <w:rsid w:val="55547A67"/>
    <w:rsid w:val="556214C9"/>
    <w:rsid w:val="557C242E"/>
    <w:rsid w:val="5597341B"/>
    <w:rsid w:val="55BC17B8"/>
    <w:rsid w:val="568B2C4C"/>
    <w:rsid w:val="56D067DB"/>
    <w:rsid w:val="56FF461E"/>
    <w:rsid w:val="57354F88"/>
    <w:rsid w:val="577A59DB"/>
    <w:rsid w:val="57AD07D9"/>
    <w:rsid w:val="57D2402A"/>
    <w:rsid w:val="57F37834"/>
    <w:rsid w:val="57FC28A6"/>
    <w:rsid w:val="5815446D"/>
    <w:rsid w:val="58207F8E"/>
    <w:rsid w:val="58E66F84"/>
    <w:rsid w:val="590557E0"/>
    <w:rsid w:val="59653FDB"/>
    <w:rsid w:val="59776A0F"/>
    <w:rsid w:val="5A0A056F"/>
    <w:rsid w:val="5A3435E3"/>
    <w:rsid w:val="5A7E6873"/>
    <w:rsid w:val="5A8556F4"/>
    <w:rsid w:val="5AD93B3E"/>
    <w:rsid w:val="5B4006EC"/>
    <w:rsid w:val="5BCB5016"/>
    <w:rsid w:val="5C9E0E94"/>
    <w:rsid w:val="5CB574F8"/>
    <w:rsid w:val="5D407D38"/>
    <w:rsid w:val="5D5C36EB"/>
    <w:rsid w:val="5DCC7EE4"/>
    <w:rsid w:val="5DD5755F"/>
    <w:rsid w:val="5E684879"/>
    <w:rsid w:val="5EA1315E"/>
    <w:rsid w:val="5EBB3501"/>
    <w:rsid w:val="5EC53D83"/>
    <w:rsid w:val="5ECA515E"/>
    <w:rsid w:val="5ED708FE"/>
    <w:rsid w:val="5F831DF8"/>
    <w:rsid w:val="5FBFD564"/>
    <w:rsid w:val="5FD032D3"/>
    <w:rsid w:val="5FED32DE"/>
    <w:rsid w:val="5FFA0AA9"/>
    <w:rsid w:val="61166E4A"/>
    <w:rsid w:val="614352E1"/>
    <w:rsid w:val="6177666F"/>
    <w:rsid w:val="618642DC"/>
    <w:rsid w:val="61D54208"/>
    <w:rsid w:val="628C6724"/>
    <w:rsid w:val="632011BD"/>
    <w:rsid w:val="63743243"/>
    <w:rsid w:val="645379A8"/>
    <w:rsid w:val="647C5075"/>
    <w:rsid w:val="651F06D3"/>
    <w:rsid w:val="65383285"/>
    <w:rsid w:val="656C7E9E"/>
    <w:rsid w:val="65BF6205"/>
    <w:rsid w:val="65DD541C"/>
    <w:rsid w:val="6733385C"/>
    <w:rsid w:val="673D196D"/>
    <w:rsid w:val="678642C5"/>
    <w:rsid w:val="67F15958"/>
    <w:rsid w:val="685E652B"/>
    <w:rsid w:val="69837FEE"/>
    <w:rsid w:val="69FA9F72"/>
    <w:rsid w:val="6A666B91"/>
    <w:rsid w:val="6ADB049C"/>
    <w:rsid w:val="6ADD4117"/>
    <w:rsid w:val="6AFA7CA1"/>
    <w:rsid w:val="6AFBA5CF"/>
    <w:rsid w:val="6B176892"/>
    <w:rsid w:val="6B5F1C79"/>
    <w:rsid w:val="6B846F79"/>
    <w:rsid w:val="6BA04C77"/>
    <w:rsid w:val="6C2D73F8"/>
    <w:rsid w:val="6C4C3F89"/>
    <w:rsid w:val="6D0F6596"/>
    <w:rsid w:val="6D306B14"/>
    <w:rsid w:val="6D6F6671"/>
    <w:rsid w:val="6D7E0472"/>
    <w:rsid w:val="6DC83B4A"/>
    <w:rsid w:val="6DCB63E0"/>
    <w:rsid w:val="6DFF4269"/>
    <w:rsid w:val="6EA55588"/>
    <w:rsid w:val="6EF61C59"/>
    <w:rsid w:val="6EFE94F5"/>
    <w:rsid w:val="6F34026E"/>
    <w:rsid w:val="6F584021"/>
    <w:rsid w:val="6F95202C"/>
    <w:rsid w:val="6FCA76F6"/>
    <w:rsid w:val="6FEED813"/>
    <w:rsid w:val="6FF733CF"/>
    <w:rsid w:val="6FFA0B8E"/>
    <w:rsid w:val="70E34408"/>
    <w:rsid w:val="70EF2159"/>
    <w:rsid w:val="715467BB"/>
    <w:rsid w:val="715848E8"/>
    <w:rsid w:val="71BF3B6D"/>
    <w:rsid w:val="720F3805"/>
    <w:rsid w:val="72867421"/>
    <w:rsid w:val="72D40327"/>
    <w:rsid w:val="736C1EF3"/>
    <w:rsid w:val="739914B7"/>
    <w:rsid w:val="73BF0B64"/>
    <w:rsid w:val="73FB2EB0"/>
    <w:rsid w:val="74417092"/>
    <w:rsid w:val="744F3545"/>
    <w:rsid w:val="74711C01"/>
    <w:rsid w:val="749F05B9"/>
    <w:rsid w:val="74BD0DAE"/>
    <w:rsid w:val="74E758A7"/>
    <w:rsid w:val="74F75CD5"/>
    <w:rsid w:val="75B83117"/>
    <w:rsid w:val="75BD78A3"/>
    <w:rsid w:val="75C91514"/>
    <w:rsid w:val="76410392"/>
    <w:rsid w:val="76A074DF"/>
    <w:rsid w:val="76B51109"/>
    <w:rsid w:val="776713B3"/>
    <w:rsid w:val="77773E76"/>
    <w:rsid w:val="77AB41AC"/>
    <w:rsid w:val="77DD49D9"/>
    <w:rsid w:val="77EF0894"/>
    <w:rsid w:val="78837ED9"/>
    <w:rsid w:val="788D06E9"/>
    <w:rsid w:val="792C6331"/>
    <w:rsid w:val="79310F62"/>
    <w:rsid w:val="79352D1D"/>
    <w:rsid w:val="79676F03"/>
    <w:rsid w:val="798E5619"/>
    <w:rsid w:val="7A067FAA"/>
    <w:rsid w:val="7A6B477F"/>
    <w:rsid w:val="7B0C4AE3"/>
    <w:rsid w:val="7BA61773"/>
    <w:rsid w:val="7C052AD8"/>
    <w:rsid w:val="7C4A22BA"/>
    <w:rsid w:val="7C9E50C3"/>
    <w:rsid w:val="7D346BD9"/>
    <w:rsid w:val="7D3F9811"/>
    <w:rsid w:val="7DAB10FE"/>
    <w:rsid w:val="7DDD8D88"/>
    <w:rsid w:val="7DE90B92"/>
    <w:rsid w:val="7DEF79DB"/>
    <w:rsid w:val="7E006FE7"/>
    <w:rsid w:val="7E260371"/>
    <w:rsid w:val="7E407D3E"/>
    <w:rsid w:val="7E7D962D"/>
    <w:rsid w:val="7F3F1C57"/>
    <w:rsid w:val="7F6337F6"/>
    <w:rsid w:val="7F7358CD"/>
    <w:rsid w:val="7F9EB1F5"/>
    <w:rsid w:val="7FAC5EDD"/>
    <w:rsid w:val="7FACB41D"/>
    <w:rsid w:val="7FD47CCD"/>
    <w:rsid w:val="7FED9319"/>
    <w:rsid w:val="7FEF1BE6"/>
    <w:rsid w:val="7FEF1D8A"/>
    <w:rsid w:val="7FFF71AF"/>
    <w:rsid w:val="9D9FD107"/>
    <w:rsid w:val="A7D8FDAA"/>
    <w:rsid w:val="AD2D2F09"/>
    <w:rsid w:val="B19F5B55"/>
    <w:rsid w:val="BA7B23C6"/>
    <w:rsid w:val="BDDC3BAE"/>
    <w:rsid w:val="BFBF7FDE"/>
    <w:rsid w:val="BFFDC1F4"/>
    <w:rsid w:val="C3FD246B"/>
    <w:rsid w:val="C5FA1159"/>
    <w:rsid w:val="CA546C15"/>
    <w:rsid w:val="CDEA9D84"/>
    <w:rsid w:val="D67F0ABB"/>
    <w:rsid w:val="DA9E14A7"/>
    <w:rsid w:val="DBFDB414"/>
    <w:rsid w:val="DDD3C0EB"/>
    <w:rsid w:val="DF63839B"/>
    <w:rsid w:val="E38EBCCC"/>
    <w:rsid w:val="EFFDF846"/>
    <w:rsid w:val="EFFF2397"/>
    <w:rsid w:val="F5FD330A"/>
    <w:rsid w:val="F6FE22EE"/>
    <w:rsid w:val="F7F7F149"/>
    <w:rsid w:val="F9BFBC58"/>
    <w:rsid w:val="FA3FB410"/>
    <w:rsid w:val="FB69EBA0"/>
    <w:rsid w:val="FB9D1A69"/>
    <w:rsid w:val="FBBD0285"/>
    <w:rsid w:val="FCF62C71"/>
    <w:rsid w:val="FD7F629D"/>
    <w:rsid w:val="FDFE8FF1"/>
    <w:rsid w:val="FE734873"/>
    <w:rsid w:val="FF992BB0"/>
    <w:rsid w:val="FFB9D6B8"/>
    <w:rsid w:val="FFF355CB"/>
    <w:rsid w:val="FFFF3DB8"/>
    <w:rsid w:val="FFFFA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2276</Words>
  <Characters>2285</Characters>
  <Lines>25</Lines>
  <Paragraphs>7</Paragraphs>
  <TotalTime>5</TotalTime>
  <ScaleCrop>false</ScaleCrop>
  <LinksUpToDate>false</LinksUpToDate>
  <CharactersWithSpaces>3063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2022-10-27T22:22:00Z</dcterms:created>
  <dc:creator>马新新</dc:creator>
  <cp:lastModifiedBy>greatwall</cp:lastModifiedBy>
  <cp:lastPrinted>2023-02-16T08:30:00Z</cp:lastPrinted>
  <dcterms:modified xsi:type="dcterms:W3CDTF">2024-03-18T09:23:27Z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5DAA899E2D104E8CB4B634694416A3FF</vt:lpwstr>
  </property>
</Properties>
</file>